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E25" w:rsidRDefault="00BD6E25" w:rsidP="001A5F4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Retificação 01/2019</w:t>
      </w:r>
    </w:p>
    <w:p w:rsidR="001A5F4D" w:rsidRPr="00364C66" w:rsidRDefault="001A5F4D" w:rsidP="001A5F4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C66">
        <w:rPr>
          <w:rFonts w:ascii="Times New Roman" w:hAnsi="Times New Roman" w:cs="Times New Roman"/>
          <w:b/>
          <w:bCs/>
          <w:sz w:val="20"/>
          <w:szCs w:val="20"/>
        </w:rPr>
        <w:t>III – DO REGISTRO DE CANDIDATURAS</w:t>
      </w:r>
    </w:p>
    <w:p w:rsidR="00C8336D" w:rsidRDefault="001A5F4D" w:rsidP="00C8336D">
      <w:pPr>
        <w:rPr>
          <w:rFonts w:ascii="Times New Roman" w:hAnsi="Times New Roman" w:cs="Times New Roman"/>
          <w:sz w:val="20"/>
          <w:szCs w:val="20"/>
        </w:rPr>
      </w:pPr>
      <w:r w:rsidRPr="00531811">
        <w:rPr>
          <w:rFonts w:ascii="Times New Roman" w:hAnsi="Times New Roman" w:cs="Times New Roman"/>
          <w:sz w:val="20"/>
          <w:szCs w:val="20"/>
        </w:rPr>
        <w:t>VII - Obtiver aproveitamento mínimo de 50% (cinquenta por cento) da pr</w:t>
      </w:r>
      <w:r>
        <w:rPr>
          <w:rFonts w:ascii="Times New Roman" w:hAnsi="Times New Roman" w:cs="Times New Roman"/>
          <w:sz w:val="20"/>
          <w:szCs w:val="20"/>
        </w:rPr>
        <w:t>ova</w:t>
      </w:r>
      <w:r w:rsidRPr="00531811">
        <w:rPr>
          <w:rFonts w:ascii="Times New Roman" w:hAnsi="Times New Roman" w:cs="Times New Roman"/>
          <w:sz w:val="20"/>
          <w:szCs w:val="20"/>
        </w:rPr>
        <w:t>, contendo 50 (Cinquenta)</w:t>
      </w:r>
      <w:r>
        <w:rPr>
          <w:rFonts w:ascii="Times New Roman" w:hAnsi="Times New Roman" w:cs="Times New Roman"/>
          <w:sz w:val="20"/>
          <w:szCs w:val="20"/>
        </w:rPr>
        <w:t xml:space="preserve"> questões:</w:t>
      </w:r>
      <w:r w:rsidRPr="0053181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35 (trinta e cinco) questões especificas (ECA e a Lei da Adoção); 10 (dez) de português e 5(cinco) de informática com 5 (cinco) alternativas de múltipla escolha, </w:t>
      </w:r>
      <w:r w:rsidRPr="00531811">
        <w:rPr>
          <w:rFonts w:ascii="Times New Roman" w:hAnsi="Times New Roman" w:cs="Times New Roman"/>
          <w:sz w:val="20"/>
          <w:szCs w:val="20"/>
        </w:rPr>
        <w:t>sendo que cada questão terá apenas uma alternativa correta, elaborada pelos membros do Conselho Municipal do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531811">
        <w:rPr>
          <w:rFonts w:ascii="Times New Roman" w:hAnsi="Times New Roman" w:cs="Times New Roman"/>
          <w:sz w:val="20"/>
          <w:szCs w:val="20"/>
        </w:rPr>
        <w:t xml:space="preserve"> Direito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531811">
        <w:rPr>
          <w:rFonts w:ascii="Times New Roman" w:hAnsi="Times New Roman" w:cs="Times New Roman"/>
          <w:sz w:val="20"/>
          <w:szCs w:val="20"/>
        </w:rPr>
        <w:t xml:space="preserve"> da Criança e do Adolescente, sob a supervisão da Comissão Temporária Organizadora designada pelo Conselho Municipal dos Direitos da Criança e do Adolescente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8336D" w:rsidRDefault="00C8336D" w:rsidP="00C8336D">
      <w:pPr>
        <w:shd w:val="clear" w:color="auto" w:fill="FFFFFF"/>
        <w:spacing w:before="100" w:after="1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C66">
        <w:rPr>
          <w:rFonts w:ascii="Times New Roman" w:hAnsi="Times New Roman" w:cs="Times New Roman"/>
          <w:sz w:val="20"/>
          <w:szCs w:val="20"/>
        </w:rPr>
        <w:t>3.2 - Para inscrever-se o (a) candidato (a) deverá, no período estabelecido, apresentar-se no local indicado no item 1 munido de:</w:t>
      </w:r>
    </w:p>
    <w:p w:rsidR="00C8336D" w:rsidRDefault="00C8336D" w:rsidP="00C8336D">
      <w:pPr>
        <w:shd w:val="clear" w:color="auto" w:fill="FFFFFF"/>
        <w:spacing w:before="100" w:after="1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DA6">
        <w:rPr>
          <w:rFonts w:ascii="Times New Roman" w:hAnsi="Times New Roman" w:cs="Times New Roman"/>
          <w:sz w:val="20"/>
          <w:szCs w:val="20"/>
        </w:rPr>
        <w:t>2.1 - Apresentação de documentos (contrato de locação, contas de água, luz, telefone, entre outras) que atestem re</w:t>
      </w:r>
      <w:r>
        <w:rPr>
          <w:rFonts w:ascii="Times New Roman" w:hAnsi="Times New Roman" w:cs="Times New Roman"/>
          <w:sz w:val="20"/>
          <w:szCs w:val="20"/>
        </w:rPr>
        <w:t>sidência em nome do interessado ou declaração de residência em formulário próprio fornecido no ato da inscrição;</w:t>
      </w:r>
    </w:p>
    <w:p w:rsidR="00F77BA2" w:rsidRDefault="00F77BA2" w:rsidP="00F77BA2">
      <w:pPr>
        <w:spacing w:line="36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F77BA2">
        <w:rPr>
          <w:rFonts w:ascii="Times New Roman" w:hAnsi="Times New Roman" w:cs="Times New Roman"/>
          <w:strike/>
          <w:sz w:val="20"/>
          <w:szCs w:val="20"/>
        </w:rPr>
        <w:t xml:space="preserve">10– Em casos de comprovação de experiência para os candidatos que exercem ou exerceram a função de Conselheiro Tutelar, apresentar, o </w:t>
      </w:r>
      <w:r w:rsidRPr="00F77BA2">
        <w:rPr>
          <w:rFonts w:ascii="Times New Roman" w:hAnsi="Times New Roman" w:cs="Times New Roman"/>
          <w:strike/>
          <w:color w:val="000000" w:themeColor="text1"/>
          <w:sz w:val="20"/>
          <w:szCs w:val="20"/>
        </w:rPr>
        <w:t>Termo de Posse expedido pelo CMDCA</w:t>
      </w:r>
      <w:r w:rsidRPr="00823CF0">
        <w:rPr>
          <w:rFonts w:ascii="Times New Roman" w:hAnsi="Times New Roman" w:cs="Times New Roman"/>
          <w:strike/>
          <w:sz w:val="20"/>
          <w:szCs w:val="20"/>
        </w:rPr>
        <w:t xml:space="preserve">. </w:t>
      </w:r>
      <w:r w:rsidRPr="00823CF0">
        <w:rPr>
          <w:rFonts w:ascii="Times New Roman" w:hAnsi="Times New Roman" w:cs="Times New Roman"/>
          <w:sz w:val="20"/>
          <w:szCs w:val="20"/>
        </w:rPr>
        <w:t xml:space="preserve"> (ANULADO);</w:t>
      </w:r>
    </w:p>
    <w:p w:rsidR="007A218D" w:rsidRPr="00364C66" w:rsidRDefault="007A218D" w:rsidP="007A218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C66">
        <w:rPr>
          <w:rFonts w:ascii="Times New Roman" w:hAnsi="Times New Roman" w:cs="Times New Roman"/>
          <w:b/>
          <w:bCs/>
          <w:sz w:val="20"/>
          <w:szCs w:val="20"/>
        </w:rPr>
        <w:t>IV – DO CALENDÁRIO DO PROCESSO SELETIVO E ELEITORAL</w:t>
      </w:r>
    </w:p>
    <w:p w:rsidR="007A218D" w:rsidRDefault="007A218D" w:rsidP="007A218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C66">
        <w:rPr>
          <w:rFonts w:ascii="Times New Roman" w:hAnsi="Times New Roman" w:cs="Times New Roman"/>
          <w:bCs/>
          <w:sz w:val="20"/>
          <w:szCs w:val="20"/>
        </w:rPr>
        <w:t xml:space="preserve">XII - </w:t>
      </w:r>
      <w:r w:rsidRPr="00364C66">
        <w:rPr>
          <w:rFonts w:ascii="Times New Roman" w:hAnsi="Times New Roman" w:cs="Times New Roman"/>
          <w:sz w:val="20"/>
          <w:szCs w:val="20"/>
        </w:rPr>
        <w:t>O prazo para Interposição de Recurso da Prova Objetiva</w:t>
      </w:r>
      <w:r>
        <w:rPr>
          <w:rFonts w:ascii="Times New Roman" w:hAnsi="Times New Roman" w:cs="Times New Roman"/>
          <w:sz w:val="20"/>
          <w:szCs w:val="20"/>
        </w:rPr>
        <w:t xml:space="preserve"> e gabarito,</w:t>
      </w:r>
      <w:r w:rsidRPr="00364C66">
        <w:rPr>
          <w:rFonts w:ascii="Times New Roman" w:hAnsi="Times New Roman" w:cs="Times New Roman"/>
          <w:sz w:val="20"/>
          <w:szCs w:val="20"/>
        </w:rPr>
        <w:t xml:space="preserve"> deverá ocorrer até as 16:00h do dia </w:t>
      </w:r>
      <w:r w:rsidRPr="00364C66">
        <w:rPr>
          <w:rFonts w:ascii="Times New Roman" w:hAnsi="Times New Roman" w:cs="Times New Roman"/>
          <w:b/>
          <w:sz w:val="20"/>
          <w:szCs w:val="20"/>
        </w:rPr>
        <w:t>04/07/2019</w:t>
      </w:r>
      <w:r w:rsidRPr="00364C66">
        <w:rPr>
          <w:rFonts w:ascii="Times New Roman" w:hAnsi="Times New Roman" w:cs="Times New Roman"/>
          <w:sz w:val="20"/>
          <w:szCs w:val="20"/>
        </w:rPr>
        <w:t xml:space="preserve">. Os recursos deverão ser dirigidos ao Presidente da Comissão Organizadora da Eleição do Conselho Tutelar do ano de 2019 e entregues na secretaria Municipal de Assistência Social, localizada à Rua Pedro Silva, </w:t>
      </w:r>
      <w:r w:rsidRPr="004C0D23">
        <w:rPr>
          <w:rFonts w:ascii="Times New Roman" w:hAnsi="Times New Roman" w:cs="Times New Roman"/>
          <w:sz w:val="20"/>
          <w:szCs w:val="20"/>
        </w:rPr>
        <w:t>nº145</w:t>
      </w:r>
      <w:r w:rsidRPr="00364C66">
        <w:rPr>
          <w:rFonts w:ascii="Times New Roman" w:hAnsi="Times New Roman" w:cs="Times New Roman"/>
          <w:sz w:val="20"/>
          <w:szCs w:val="20"/>
        </w:rPr>
        <w:t xml:space="preserve">, Centro- Iporanga-SP das </w:t>
      </w:r>
      <w:r w:rsidRPr="00364C66">
        <w:rPr>
          <w:rFonts w:ascii="Times New Roman" w:hAnsi="Times New Roman" w:cs="Times New Roman"/>
          <w:b/>
          <w:sz w:val="20"/>
          <w:szCs w:val="20"/>
        </w:rPr>
        <w:t>08:00 ás 11:00 e 13:00 às 16:00h;</w:t>
      </w:r>
    </w:p>
    <w:p w:rsidR="00B64C2B" w:rsidRDefault="00B64C2B" w:rsidP="00B64C2B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364C66">
        <w:rPr>
          <w:rFonts w:ascii="Times New Roman" w:hAnsi="Times New Roman" w:cs="Times New Roman"/>
          <w:sz w:val="20"/>
          <w:szCs w:val="20"/>
        </w:rPr>
        <w:t xml:space="preserve">XVIII– A eleição dos candidatos ao Conselho Tutelar será no dia </w:t>
      </w:r>
      <w:r w:rsidRPr="00364C66">
        <w:rPr>
          <w:rFonts w:ascii="Times New Roman" w:hAnsi="Times New Roman" w:cs="Times New Roman"/>
          <w:b/>
          <w:sz w:val="20"/>
          <w:szCs w:val="20"/>
        </w:rPr>
        <w:t>06/10/2019</w:t>
      </w:r>
      <w:r w:rsidRPr="00364C66">
        <w:rPr>
          <w:rFonts w:ascii="Times New Roman" w:hAnsi="Times New Roman" w:cs="Times New Roman"/>
          <w:sz w:val="20"/>
          <w:szCs w:val="20"/>
        </w:rPr>
        <w:t xml:space="preserve"> na ESCOLA ESTADUAL NASCIMENTO SATIRO DA SILVA sito à </w:t>
      </w:r>
      <w:r w:rsidRPr="00364C66">
        <w:rPr>
          <w:rFonts w:ascii="Times New Roman" w:hAnsi="Times New Roman" w:cs="Times New Roman"/>
          <w:bCs/>
          <w:sz w:val="20"/>
          <w:szCs w:val="20"/>
        </w:rPr>
        <w:t>Avenida Iporanga, 386, centro,</w:t>
      </w:r>
      <w:r>
        <w:rPr>
          <w:rFonts w:ascii="Times New Roman" w:hAnsi="Times New Roman" w:cs="Times New Roman"/>
          <w:bCs/>
          <w:sz w:val="20"/>
          <w:szCs w:val="20"/>
        </w:rPr>
        <w:t xml:space="preserve"> das 08h00 ás 17h00 </w:t>
      </w:r>
      <w:r w:rsidRPr="00364C6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64C66">
        <w:rPr>
          <w:rFonts w:ascii="Times New Roman" w:hAnsi="Times New Roman" w:cs="Times New Roman"/>
          <w:sz w:val="20"/>
          <w:szCs w:val="20"/>
        </w:rPr>
        <w:t>e a apuração será após às 17:00h na Câmara Municipal, conforme orientações do CONANDA;</w:t>
      </w:r>
    </w:p>
    <w:p w:rsidR="0004519B" w:rsidRPr="00364C66" w:rsidRDefault="0004519B" w:rsidP="000451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C66">
        <w:rPr>
          <w:rFonts w:ascii="Times New Roman" w:hAnsi="Times New Roman" w:cs="Times New Roman"/>
          <w:sz w:val="20"/>
          <w:szCs w:val="20"/>
        </w:rPr>
        <w:t xml:space="preserve">XX– O prazo para interposição de recurso do pleito eleitoral deverá ser entregue até as </w:t>
      </w:r>
      <w:r w:rsidRPr="00364C66">
        <w:rPr>
          <w:rFonts w:ascii="Times New Roman" w:hAnsi="Times New Roman" w:cs="Times New Roman"/>
          <w:b/>
          <w:sz w:val="20"/>
          <w:szCs w:val="20"/>
        </w:rPr>
        <w:t xml:space="preserve">16:00h do dia16/10/2019 </w:t>
      </w:r>
      <w:r w:rsidRPr="00364C66">
        <w:rPr>
          <w:rFonts w:ascii="Times New Roman" w:hAnsi="Times New Roman" w:cs="Times New Roman"/>
          <w:sz w:val="20"/>
          <w:szCs w:val="20"/>
        </w:rPr>
        <w:t>na Secretaria Municipal de Assistência Social, sito à Rua Pedro silva, nº</w:t>
      </w:r>
      <w:r>
        <w:rPr>
          <w:rFonts w:ascii="Times New Roman" w:hAnsi="Times New Roman" w:cs="Times New Roman"/>
          <w:sz w:val="20"/>
          <w:szCs w:val="20"/>
        </w:rPr>
        <w:t xml:space="preserve"> 145</w:t>
      </w:r>
      <w:r w:rsidRPr="00364C66">
        <w:rPr>
          <w:rFonts w:ascii="Times New Roman" w:hAnsi="Times New Roman" w:cs="Times New Roman"/>
          <w:sz w:val="20"/>
          <w:szCs w:val="20"/>
        </w:rPr>
        <w:t xml:space="preserve">– Iporanga-SP, dirigido ao presidente da Comissão Organizadora da Eleição do Conselho Tutelar do ano de 2019 das </w:t>
      </w:r>
      <w:r w:rsidRPr="00364C66">
        <w:rPr>
          <w:rFonts w:ascii="Times New Roman" w:hAnsi="Times New Roman" w:cs="Times New Roman"/>
          <w:b/>
          <w:sz w:val="20"/>
          <w:szCs w:val="20"/>
        </w:rPr>
        <w:t>08:00 ás 11:00 e 13:00 às 16:00h;</w:t>
      </w:r>
    </w:p>
    <w:p w:rsidR="00E32EB6" w:rsidRPr="00364C66" w:rsidRDefault="00E32EB6" w:rsidP="00E32EB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C66">
        <w:rPr>
          <w:rFonts w:ascii="Times New Roman" w:hAnsi="Times New Roman" w:cs="Times New Roman"/>
          <w:b/>
          <w:bCs/>
          <w:sz w:val="20"/>
          <w:szCs w:val="20"/>
        </w:rPr>
        <w:t>VIII </w:t>
      </w:r>
      <w:r w:rsidRPr="00364C66">
        <w:rPr>
          <w:rFonts w:ascii="Times New Roman" w:hAnsi="Times New Roman" w:cs="Times New Roman"/>
          <w:sz w:val="20"/>
          <w:szCs w:val="20"/>
        </w:rPr>
        <w:t>–</w:t>
      </w:r>
      <w:r w:rsidRPr="00364C66">
        <w:rPr>
          <w:rFonts w:ascii="Times New Roman" w:hAnsi="Times New Roman" w:cs="Times New Roman"/>
          <w:b/>
          <w:bCs/>
          <w:sz w:val="20"/>
          <w:szCs w:val="20"/>
        </w:rPr>
        <w:t> DO RECURSO DA PROVA OBJETIVA</w:t>
      </w:r>
    </w:p>
    <w:p w:rsidR="00E32EB6" w:rsidRPr="00823CF0" w:rsidRDefault="00E32EB6" w:rsidP="00E32EB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823CF0">
        <w:rPr>
          <w:rFonts w:ascii="Times New Roman" w:hAnsi="Times New Roman" w:cs="Times New Roman"/>
          <w:strike/>
          <w:sz w:val="20"/>
          <w:szCs w:val="20"/>
        </w:rPr>
        <w:lastRenderedPageBreak/>
        <w:t>8.1 – O prazo para o recurso será de 02 (dois) dias úteis, a contar do primeiro dia útil subsequente (incluído este) ao da publicação do Edital com o respectivo resultado.</w:t>
      </w:r>
      <w:r w:rsidR="00CE77EA" w:rsidRPr="00823CF0">
        <w:rPr>
          <w:rFonts w:ascii="Times New Roman" w:hAnsi="Times New Roman" w:cs="Times New Roman"/>
          <w:strike/>
          <w:sz w:val="20"/>
          <w:szCs w:val="20"/>
        </w:rPr>
        <w:t xml:space="preserve">  (ANULADO)</w:t>
      </w:r>
    </w:p>
    <w:p w:rsidR="007E3D8D" w:rsidRDefault="007E3D8D" w:rsidP="007E3D8D">
      <w:pPr>
        <w:shd w:val="clear" w:color="auto" w:fill="FFFFFF"/>
        <w:spacing w:before="100" w:after="1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C66">
        <w:rPr>
          <w:rFonts w:ascii="Times New Roman" w:hAnsi="Times New Roman" w:cs="Times New Roman"/>
          <w:sz w:val="20"/>
          <w:szCs w:val="20"/>
        </w:rPr>
        <w:t>8.2 – O pedido de recurso</w:t>
      </w:r>
      <w:r>
        <w:rPr>
          <w:rFonts w:ascii="Times New Roman" w:hAnsi="Times New Roman" w:cs="Times New Roman"/>
          <w:sz w:val="20"/>
          <w:szCs w:val="20"/>
        </w:rPr>
        <w:t xml:space="preserve"> deverá ser dirigido ao Presidente da Comissão organizadora</w:t>
      </w:r>
      <w:r w:rsidRPr="00364C66">
        <w:rPr>
          <w:rFonts w:ascii="Times New Roman" w:hAnsi="Times New Roman" w:cs="Times New Roman"/>
          <w:sz w:val="20"/>
          <w:szCs w:val="20"/>
        </w:rPr>
        <w:t>, mediante requerimento encaminhado para a Secretaria de Assistência Social, situada na Rua Pedro Silva, Centro, 145 – Iporanga-SP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A0E60" w:rsidRDefault="009A0E60" w:rsidP="009A0E60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64C66">
        <w:rPr>
          <w:rFonts w:ascii="Times New Roman" w:hAnsi="Times New Roman" w:cs="Times New Roman"/>
          <w:b/>
          <w:bCs/>
          <w:sz w:val="20"/>
          <w:szCs w:val="20"/>
        </w:rPr>
        <w:t>10</w:t>
      </w:r>
      <w:r>
        <w:rPr>
          <w:rFonts w:ascii="Times New Roman" w:hAnsi="Times New Roman" w:cs="Times New Roman"/>
          <w:b/>
          <w:bCs/>
          <w:sz w:val="20"/>
          <w:szCs w:val="20"/>
        </w:rPr>
        <w:t>.5 – DA PROCLAMAÇÃO, NOMEAÇÃO E POSSE:</w:t>
      </w:r>
    </w:p>
    <w:p w:rsidR="009275BD" w:rsidRDefault="009A0E60" w:rsidP="009275B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C66">
        <w:rPr>
          <w:rFonts w:ascii="Times New Roman" w:hAnsi="Times New Roman" w:cs="Times New Roman"/>
          <w:sz w:val="20"/>
          <w:szCs w:val="20"/>
        </w:rPr>
        <w:t>10.5.2 – Serão proclamados eleitos Conselheiros Tutelares para o período extraordinário de 10/01</w:t>
      </w:r>
      <w:r>
        <w:rPr>
          <w:rFonts w:ascii="Times New Roman" w:hAnsi="Times New Roman" w:cs="Times New Roman"/>
          <w:sz w:val="20"/>
          <w:szCs w:val="20"/>
        </w:rPr>
        <w:t>/2020 a 09/01/2024</w:t>
      </w:r>
      <w:r w:rsidRPr="00364C66">
        <w:rPr>
          <w:rFonts w:ascii="Times New Roman" w:hAnsi="Times New Roman" w:cs="Times New Roman"/>
          <w:sz w:val="20"/>
          <w:szCs w:val="20"/>
        </w:rPr>
        <w:t>, os dez candidatos mais votados e considerados suplentes os candidatos mais votados em ordem decrescente de número de votos, a partir do último escolhido como titular, e sua composição será igual ao número de conselheiros tutelares.</w:t>
      </w:r>
    </w:p>
    <w:p w:rsidR="009275BD" w:rsidRDefault="009275BD" w:rsidP="009275BD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4C66">
        <w:rPr>
          <w:rFonts w:ascii="Times New Roman" w:hAnsi="Times New Roman" w:cs="Times New Roman"/>
          <w:b/>
          <w:bCs/>
          <w:sz w:val="20"/>
          <w:szCs w:val="20"/>
        </w:rPr>
        <w:t xml:space="preserve">10.7 – DA REMUNERAÇÃO   </w:t>
      </w:r>
    </w:p>
    <w:p w:rsidR="009275BD" w:rsidRDefault="009275BD" w:rsidP="009275B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75BD">
        <w:rPr>
          <w:rFonts w:ascii="Times New Roman" w:hAnsi="Times New Roman" w:cs="Times New Roman"/>
          <w:sz w:val="20"/>
          <w:szCs w:val="20"/>
        </w:rPr>
        <w:t>10.7.3 – Ao Conselheiro Tutelar ocupante de cargo público municipal efetivo é facultado optar pelos vencimentos e vantagens dos seus cargos vedada a acumulação de vencimentos. (Lei 0015/97, 04 de agosto de 1997, Art.39, seção VII)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9275BD" w:rsidRDefault="009275BD" w:rsidP="009275BD">
      <w:pPr>
        <w:spacing w:line="36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9275BD">
        <w:rPr>
          <w:rFonts w:ascii="Times New Roman" w:hAnsi="Times New Roman" w:cs="Times New Roman"/>
          <w:strike/>
          <w:sz w:val="20"/>
          <w:szCs w:val="20"/>
        </w:rPr>
        <w:t xml:space="preserve">10.7.4 – O servidor público municipal será afastado de seu cargo no serviço público municipal mediante portaria, e contribuirá para a seguridade social como se no exercício estivesse e seu tempo de serviço será contado apenas para aposentadoria.  </w:t>
      </w:r>
      <w:r>
        <w:rPr>
          <w:rFonts w:ascii="Times New Roman" w:hAnsi="Times New Roman" w:cs="Times New Roman"/>
          <w:strike/>
          <w:sz w:val="20"/>
          <w:szCs w:val="20"/>
        </w:rPr>
        <w:t>(ANULADO)</w:t>
      </w:r>
    </w:p>
    <w:p w:rsidR="00823CF0" w:rsidRPr="009275BD" w:rsidRDefault="00823CF0" w:rsidP="009275BD">
      <w:pPr>
        <w:spacing w:line="36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</w:p>
    <w:p w:rsidR="00823CF0" w:rsidRPr="00364C66" w:rsidRDefault="00823CF0" w:rsidP="00823CF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64C66">
        <w:rPr>
          <w:rFonts w:ascii="Times New Roman" w:hAnsi="Times New Roman" w:cs="Times New Roman"/>
          <w:sz w:val="20"/>
          <w:szCs w:val="20"/>
        </w:rPr>
        <w:t xml:space="preserve">Iporanga, </w:t>
      </w:r>
      <w:r>
        <w:rPr>
          <w:rFonts w:ascii="Times New Roman" w:hAnsi="Times New Roman" w:cs="Times New Roman"/>
          <w:sz w:val="20"/>
          <w:szCs w:val="20"/>
        </w:rPr>
        <w:t xml:space="preserve">10 </w:t>
      </w:r>
      <w:r w:rsidRPr="00364C66">
        <w:rPr>
          <w:rFonts w:ascii="Times New Roman" w:hAnsi="Times New Roman" w:cs="Times New Roman"/>
          <w:sz w:val="20"/>
          <w:szCs w:val="20"/>
        </w:rPr>
        <w:t>de Abril de 2019.</w:t>
      </w:r>
    </w:p>
    <w:p w:rsidR="00823CF0" w:rsidRPr="00364C66" w:rsidRDefault="00823CF0" w:rsidP="00823CF0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23CF0" w:rsidRPr="00364C66" w:rsidRDefault="00823CF0" w:rsidP="00823CF0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23CF0" w:rsidRPr="00364C66" w:rsidRDefault="00823CF0" w:rsidP="00823CF0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23CF0" w:rsidRPr="00BE797A" w:rsidRDefault="00823CF0" w:rsidP="00823CF0">
      <w:pPr>
        <w:pStyle w:val="SemEspaamento"/>
        <w:jc w:val="center"/>
        <w:rPr>
          <w:rFonts w:ascii="Times New Roman" w:hAnsi="Times New Roman"/>
        </w:rPr>
      </w:pPr>
    </w:p>
    <w:p w:rsidR="00823CF0" w:rsidRPr="00BE797A" w:rsidRDefault="00823CF0" w:rsidP="00823CF0">
      <w:pPr>
        <w:pStyle w:val="SemEspaamento"/>
        <w:jc w:val="center"/>
        <w:rPr>
          <w:rFonts w:ascii="Times New Roman" w:hAnsi="Times New Roman"/>
        </w:rPr>
      </w:pPr>
      <w:r w:rsidRPr="00BE797A">
        <w:rPr>
          <w:rFonts w:ascii="Times New Roman" w:hAnsi="Times New Roman"/>
        </w:rPr>
        <w:t>Tamires Carla Ursulino</w:t>
      </w:r>
    </w:p>
    <w:p w:rsidR="00823CF0" w:rsidRPr="00BE797A" w:rsidRDefault="00823CF0" w:rsidP="00823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797A">
        <w:rPr>
          <w:rFonts w:ascii="Times New Roman" w:hAnsi="Times New Roman" w:cs="Times New Roman"/>
          <w:b/>
        </w:rPr>
        <w:t>Presidente do CMDCA</w:t>
      </w:r>
    </w:p>
    <w:p w:rsidR="009275BD" w:rsidRPr="009275BD" w:rsidRDefault="009275BD" w:rsidP="009275B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E60" w:rsidRPr="00364C66" w:rsidRDefault="009A0E60" w:rsidP="009A0E60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A0E60" w:rsidRPr="00364C66" w:rsidRDefault="009A0E60" w:rsidP="007E3D8D">
      <w:pPr>
        <w:shd w:val="clear" w:color="auto" w:fill="FFFFFF"/>
        <w:spacing w:before="100" w:after="10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3D8D" w:rsidRPr="00CE77EA" w:rsidRDefault="007E3D8D" w:rsidP="00E32EB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p w:rsidR="0004519B" w:rsidRPr="00364C66" w:rsidRDefault="0004519B" w:rsidP="00B64C2B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B64C2B" w:rsidRPr="00364C66" w:rsidRDefault="00B64C2B" w:rsidP="007A218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218D" w:rsidRPr="00364C66" w:rsidRDefault="007A218D" w:rsidP="00F77BA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77BA2" w:rsidRPr="00E22DA6" w:rsidRDefault="00F77BA2" w:rsidP="00C8336D">
      <w:pPr>
        <w:shd w:val="clear" w:color="auto" w:fill="FFFFFF"/>
        <w:spacing w:before="100" w:after="10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5F4D" w:rsidRPr="001A5F4D" w:rsidRDefault="001A5F4D">
      <w:pPr>
        <w:rPr>
          <w:rFonts w:ascii="Times New Roman" w:hAnsi="Times New Roman" w:cs="Times New Roman"/>
          <w:sz w:val="20"/>
          <w:szCs w:val="20"/>
        </w:rPr>
      </w:pPr>
    </w:p>
    <w:sectPr w:rsidR="001A5F4D" w:rsidRPr="001A5F4D" w:rsidSect="00E7570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E25" w:rsidRDefault="00BD6E25" w:rsidP="00BD6E25">
      <w:pPr>
        <w:spacing w:after="0" w:line="240" w:lineRule="auto"/>
      </w:pPr>
      <w:r>
        <w:separator/>
      </w:r>
    </w:p>
  </w:endnote>
  <w:endnote w:type="continuationSeparator" w:id="0">
    <w:p w:rsidR="00BD6E25" w:rsidRDefault="00BD6E25" w:rsidP="00BD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E25" w:rsidRDefault="00BD6E25" w:rsidP="00BD6E25">
      <w:pPr>
        <w:spacing w:after="0" w:line="240" w:lineRule="auto"/>
      </w:pPr>
      <w:r>
        <w:separator/>
      </w:r>
    </w:p>
  </w:footnote>
  <w:footnote w:type="continuationSeparator" w:id="0">
    <w:p w:rsidR="00BD6E25" w:rsidRDefault="00BD6E25" w:rsidP="00BD6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horzAnchor="margin" w:tblpXSpec="center" w:tblpY="-1065"/>
      <w:tblW w:w="9705" w:type="dxa"/>
      <w:tblBorders>
        <w:bottom w:val="thickThinSmallGap" w:sz="12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559"/>
      <w:gridCol w:w="5635"/>
      <w:gridCol w:w="2511"/>
    </w:tblGrid>
    <w:tr w:rsidR="00BD6E25" w:rsidRPr="00986649" w:rsidTr="001363BB">
      <w:trPr>
        <w:trHeight w:val="1450"/>
      </w:trPr>
      <w:tc>
        <w:tcPr>
          <w:tcW w:w="1560" w:type="dxa"/>
          <w:tcBorders>
            <w:top w:val="nil"/>
            <w:left w:val="nil"/>
            <w:bottom w:val="thickThinSmallGap" w:sz="12" w:space="0" w:color="auto"/>
            <w:right w:val="nil"/>
          </w:tcBorders>
          <w:hideMark/>
        </w:tcPr>
        <w:p w:rsidR="00BD6E25" w:rsidRPr="00986649" w:rsidRDefault="00BD6E25" w:rsidP="001363BB">
          <w:pPr>
            <w:ind w:left="-180" w:right="-108"/>
            <w:rPr>
              <w:rFonts w:ascii="Arial" w:hAnsi="Arial" w:cs="Arial"/>
              <w:sz w:val="18"/>
              <w:szCs w:val="18"/>
            </w:rPr>
          </w:pPr>
          <w:r w:rsidRPr="00986649">
            <w:rPr>
              <w:rFonts w:ascii="Arial" w:hAnsi="Arial" w:cs="Arial"/>
              <w:sz w:val="18"/>
              <w:szCs w:val="18"/>
            </w:rPr>
            <w:t xml:space="preserve">                                             </w:t>
          </w:r>
          <w:bookmarkStart w:id="1" w:name="_MON_1441020231"/>
          <w:bookmarkEnd w:id="1"/>
          <w:r w:rsidR="008473BE" w:rsidRPr="00986649">
            <w:rPr>
              <w:rFonts w:ascii="Arial" w:hAnsi="Arial" w:cs="Arial"/>
              <w:noProof/>
              <w:sz w:val="18"/>
              <w:szCs w:val="18"/>
            </w:rPr>
            <w:object w:dxaOrig="1801" w:dyaOrig="15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4pt;height:81.2pt" o:ole="" filled="t">
                <v:fill color2="black" type="frame"/>
                <v:imagedata r:id="rId1" o:title=""/>
              </v:shape>
              <o:OLEObject Type="Embed" ProgID="Word.Picture.8" ShapeID="_x0000_i1025" DrawAspect="Content" ObjectID="_1618400871" r:id="rId2"/>
            </w:object>
          </w:r>
        </w:p>
      </w:tc>
      <w:tc>
        <w:tcPr>
          <w:tcW w:w="5637" w:type="dxa"/>
          <w:tcBorders>
            <w:top w:val="nil"/>
            <w:left w:val="nil"/>
            <w:bottom w:val="thickThinSmallGap" w:sz="12" w:space="0" w:color="auto"/>
            <w:right w:val="nil"/>
          </w:tcBorders>
        </w:tcPr>
        <w:p w:rsidR="00BD6E25" w:rsidRPr="00986649" w:rsidRDefault="00BD6E25" w:rsidP="001363BB">
          <w:pPr>
            <w:pStyle w:val="Cabealho"/>
            <w:spacing w:before="60" w:line="276" w:lineRule="auto"/>
            <w:jc w:val="center"/>
            <w:rPr>
              <w:rFonts w:ascii="Arial" w:hAnsi="Arial" w:cs="Arial"/>
              <w:b/>
              <w:spacing w:val="20"/>
              <w:sz w:val="18"/>
              <w:szCs w:val="18"/>
            </w:rPr>
          </w:pPr>
        </w:p>
        <w:p w:rsidR="00BD6E25" w:rsidRPr="00986649" w:rsidRDefault="00BD6E25" w:rsidP="001363BB">
          <w:pPr>
            <w:pStyle w:val="Cabealho"/>
            <w:spacing w:before="60" w:line="276" w:lineRule="auto"/>
            <w:jc w:val="center"/>
            <w:rPr>
              <w:rFonts w:ascii="Arial" w:hAnsi="Arial" w:cs="Arial"/>
              <w:b/>
              <w:spacing w:val="20"/>
              <w:sz w:val="18"/>
              <w:szCs w:val="18"/>
            </w:rPr>
          </w:pPr>
          <w:r>
            <w:rPr>
              <w:rFonts w:ascii="Arial" w:hAnsi="Arial" w:cs="Arial"/>
              <w:b/>
              <w:spacing w:val="20"/>
              <w:sz w:val="18"/>
              <w:szCs w:val="18"/>
            </w:rPr>
            <w:t xml:space="preserve">CONSELHO MUNICIPAL DOS </w:t>
          </w:r>
          <w:r w:rsidRPr="00986649">
            <w:rPr>
              <w:rFonts w:ascii="Arial" w:hAnsi="Arial" w:cs="Arial"/>
              <w:b/>
              <w:spacing w:val="20"/>
              <w:sz w:val="18"/>
              <w:szCs w:val="18"/>
            </w:rPr>
            <w:t>DIREITO</w:t>
          </w:r>
          <w:r>
            <w:rPr>
              <w:rFonts w:ascii="Arial" w:hAnsi="Arial" w:cs="Arial"/>
              <w:b/>
              <w:spacing w:val="20"/>
              <w:sz w:val="18"/>
              <w:szCs w:val="18"/>
            </w:rPr>
            <w:t>S</w:t>
          </w:r>
          <w:r w:rsidRPr="00986649">
            <w:rPr>
              <w:rFonts w:ascii="Arial" w:hAnsi="Arial" w:cs="Arial"/>
              <w:b/>
              <w:spacing w:val="20"/>
              <w:sz w:val="18"/>
              <w:szCs w:val="18"/>
            </w:rPr>
            <w:t xml:space="preserve"> DA CRIANCA E DO ADOLESCENTE</w:t>
          </w:r>
        </w:p>
        <w:p w:rsidR="00BD6E25" w:rsidRPr="00986649" w:rsidRDefault="00BD6E25" w:rsidP="001363BB">
          <w:pPr>
            <w:pStyle w:val="Cabealho"/>
            <w:spacing w:before="60" w:line="276" w:lineRule="auto"/>
            <w:jc w:val="center"/>
            <w:rPr>
              <w:rFonts w:ascii="Arial" w:hAnsi="Arial" w:cs="Arial"/>
              <w:b/>
              <w:spacing w:val="20"/>
              <w:sz w:val="18"/>
              <w:szCs w:val="18"/>
            </w:rPr>
          </w:pPr>
          <w:r w:rsidRPr="00986649">
            <w:rPr>
              <w:rFonts w:ascii="Arial" w:hAnsi="Arial" w:cs="Arial"/>
              <w:b/>
              <w:spacing w:val="20"/>
              <w:sz w:val="18"/>
              <w:szCs w:val="18"/>
            </w:rPr>
            <w:t xml:space="preserve"> “Capital das Cavernas”</w:t>
          </w:r>
        </w:p>
        <w:p w:rsidR="00BD6E25" w:rsidRPr="00986649" w:rsidRDefault="00BD6E25" w:rsidP="001363BB">
          <w:pPr>
            <w:widowControl w:val="0"/>
            <w:spacing w:before="160"/>
            <w:jc w:val="center"/>
            <w:rPr>
              <w:rFonts w:ascii="Arial" w:hAnsi="Arial" w:cs="Arial"/>
              <w:sz w:val="18"/>
              <w:szCs w:val="18"/>
            </w:rPr>
          </w:pPr>
          <w:r w:rsidRPr="00986649">
            <w:rPr>
              <w:rFonts w:ascii="Arial" w:hAnsi="Arial" w:cs="Arial"/>
              <w:sz w:val="18"/>
              <w:szCs w:val="18"/>
            </w:rPr>
            <w:t>PABX: (15) 3556–1581 / e-mail: cmdca.iporanga@hotmail.com</w:t>
          </w:r>
        </w:p>
        <w:p w:rsidR="00BD6E25" w:rsidRPr="00986649" w:rsidRDefault="00BD6E25" w:rsidP="001363BB">
          <w:pPr>
            <w:widowControl w:val="0"/>
            <w:spacing w:before="160"/>
            <w:jc w:val="center"/>
            <w:rPr>
              <w:rFonts w:ascii="Arial" w:hAnsi="Arial" w:cs="Arial"/>
              <w:sz w:val="18"/>
              <w:szCs w:val="18"/>
            </w:rPr>
          </w:pPr>
          <w:r w:rsidRPr="00986649">
            <w:rPr>
              <w:rFonts w:ascii="Arial" w:hAnsi="Arial" w:cs="Arial"/>
              <w:sz w:val="18"/>
              <w:szCs w:val="18"/>
            </w:rPr>
            <w:t>Rua Pedro Silva N 145 – Centro – CEP 18330-000 – Iporanga/SP</w:t>
          </w:r>
        </w:p>
        <w:p w:rsidR="00BD6E25" w:rsidRPr="00986649" w:rsidRDefault="00BD6E25" w:rsidP="001363BB">
          <w:pPr>
            <w:widowControl w:val="0"/>
            <w:spacing w:before="40"/>
            <w:jc w:val="center"/>
            <w:rPr>
              <w:rFonts w:ascii="Arial" w:hAnsi="Arial" w:cs="Arial"/>
              <w:sz w:val="18"/>
              <w:szCs w:val="18"/>
            </w:rPr>
          </w:pPr>
          <w:r w:rsidRPr="00986649">
            <w:rPr>
              <w:rFonts w:ascii="Arial" w:hAnsi="Arial" w:cs="Arial"/>
              <w:sz w:val="18"/>
              <w:szCs w:val="18"/>
            </w:rPr>
            <w:t>CNPJ/MF 19.428.723/0001-14 – Inscr. Estadual Isenta.</w:t>
          </w:r>
        </w:p>
      </w:tc>
      <w:tc>
        <w:tcPr>
          <w:tcW w:w="2512" w:type="dxa"/>
          <w:tcBorders>
            <w:top w:val="nil"/>
            <w:left w:val="nil"/>
            <w:bottom w:val="thickThinSmallGap" w:sz="12" w:space="0" w:color="auto"/>
            <w:right w:val="nil"/>
          </w:tcBorders>
          <w:hideMark/>
        </w:tcPr>
        <w:p w:rsidR="00BD6E25" w:rsidRPr="00986649" w:rsidRDefault="00BD6E25" w:rsidP="001363BB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514475" cy="1095375"/>
                <wp:effectExtent l="19050" t="0" r="9525" b="0"/>
                <wp:docPr id="2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6E25" w:rsidRDefault="00BD6E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4D"/>
    <w:rsid w:val="0004519B"/>
    <w:rsid w:val="00104C85"/>
    <w:rsid w:val="001A5F4D"/>
    <w:rsid w:val="007A218D"/>
    <w:rsid w:val="007E3D8D"/>
    <w:rsid w:val="00823CF0"/>
    <w:rsid w:val="008473BE"/>
    <w:rsid w:val="009275BD"/>
    <w:rsid w:val="009A0E60"/>
    <w:rsid w:val="009D58A8"/>
    <w:rsid w:val="00B64C2B"/>
    <w:rsid w:val="00BD6E25"/>
    <w:rsid w:val="00C8336D"/>
    <w:rsid w:val="00CE77EA"/>
    <w:rsid w:val="00E32EB6"/>
    <w:rsid w:val="00E75701"/>
    <w:rsid w:val="00F7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189F6A3A-3274-334E-B3A0-856EB13A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4D"/>
    <w:rPr>
      <w:rFonts w:ascii="Calibri" w:eastAsia="Times New Roman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D6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D6E25"/>
    <w:rPr>
      <w:rFonts w:ascii="Calibri" w:eastAsia="Times New Roman" w:hAnsi="Calibri" w:cs="Calibri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D6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E25"/>
    <w:rPr>
      <w:rFonts w:ascii="Calibri" w:eastAsia="Times New Roman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E25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823C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 /><Relationship Id="rId2" Type="http://schemas.openxmlformats.org/officeDocument/2006/relationships/oleObject" Target="embeddings/oleObject1.bin" /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Social</dc:creator>
  <cp:lastModifiedBy>Usuário Convidado</cp:lastModifiedBy>
  <cp:revision>2</cp:revision>
  <dcterms:created xsi:type="dcterms:W3CDTF">2019-05-03T18:01:00Z</dcterms:created>
  <dcterms:modified xsi:type="dcterms:W3CDTF">2019-05-03T18:01:00Z</dcterms:modified>
</cp:coreProperties>
</file>